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2B2926"/>
          <w:sz w:val="34"/>
          <w:szCs w:val="34"/>
        </w:rPr>
        <w:t xml:space="preserve">SEKRETESS- OCH SAMARBETSAVTAL</w:t>
      </w:r>
    </w:p>
    <w:p>
      <w:pPr>
        <w:spacing w:after="300"/>
      </w:pPr>
      <w:r>
        <w:rPr>
          <w:rFonts w:ascii="Calibri" w:cs="Calibri" w:eastAsia="Calibri" w:hAnsi="Calibri"/>
          <w:i/>
          <w:iCs/>
          <w:color w:val="5A564E"/>
          <w:sz w:val="20"/>
          <w:szCs w:val="20"/>
        </w:rPr>
        <w:t xml:space="preserve">Mellan de parter som anges i Bilaga 2 ("Parterna")</w:t>
      </w:r>
    </w:p>
    <w:p>
      <w:pPr>
        <w:pStyle w:val="Heading2"/>
        <w:spacing w:after="80" w:before="180"/>
      </w:pPr>
      <w:r>
        <w:rPr>
          <w:rFonts w:ascii="Calibri" w:cs="Calibri" w:eastAsia="Calibri" w:hAnsi="Calibri"/>
          <w:b/>
          <w:bCs/>
          <w:color w:val="2B2926"/>
          <w:sz w:val="24"/>
          <w:szCs w:val="24"/>
        </w:rPr>
        <w:t xml:space="preserve">1. Bakgrund</w:t>
      </w:r>
    </w:p>
    <w:p>
      <w:pPr>
        <w:spacing w:after="100"/>
      </w:pPr>
      <w:r>
        <w:rPr>
          <w:rFonts w:ascii="Calibri" w:cs="Calibri" w:eastAsia="Calibri" w:hAnsi="Calibri"/>
          <w:color w:val="2B2926"/>
          <w:sz w:val="21"/>
          <w:szCs w:val="21"/>
        </w:rPr>
        <w:t xml:space="preserve">Detta avtal reglerar sekretess och grundläggande villkor för ett samarbete mellan en tillverkare/leverantör ("Tillverkaren") och en yrkesperson ("Yrkespersonen"), vilka har hittat varandra via förmedlingstjänsten Proffsnavet. Parternas identitet, uppdragets omfattning och ekonomiska villkor anges i Bilaga 2, som utgör en integrerad del av detta avtal.</w:t>
      </w:r>
    </w:p>
    <w:p>
      <w:pPr>
        <w:pStyle w:val="Heading2"/>
        <w:spacing w:after="80" w:before="180"/>
      </w:pPr>
      <w:r>
        <w:rPr>
          <w:rFonts w:ascii="Calibri" w:cs="Calibri" w:eastAsia="Calibri" w:hAnsi="Calibri"/>
          <w:b/>
          <w:bCs/>
          <w:color w:val="2B2926"/>
          <w:sz w:val="24"/>
          <w:szCs w:val="24"/>
        </w:rPr>
        <w:t xml:space="preserve">2. Proffsnavets roll</w:t>
      </w:r>
    </w:p>
    <w:p>
      <w:pPr>
        <w:spacing w:after="100"/>
      </w:pPr>
      <w:r>
        <w:rPr>
          <w:rFonts w:ascii="Calibri" w:cs="Calibri" w:eastAsia="Calibri" w:hAnsi="Calibri"/>
          <w:color w:val="2B2926"/>
          <w:sz w:val="21"/>
          <w:szCs w:val="21"/>
        </w:rPr>
        <w:t xml:space="preserve">Proffsnavet (Luggaexclusive AB) är inte part i detta avtal. Proffsnavet tillhandahåller en plattform för att Parterna ska hitta varandra samt hanterar betalning mellan Parterna enligt Proffsnavets vid var tid gällande villkor. Proffsnavet ansvarar inte för detta avtals innehåll, Parternas fullgörande av avtalet eller eventuella tvister mellan Parterna. Denna avtalsmall tillhandahålls kostnadsfritt som en hjälp till Parterna och utgör inte juridisk rådgivning.</w:t>
      </w:r>
    </w:p>
    <w:p>
      <w:pPr>
        <w:pStyle w:val="Heading2"/>
        <w:spacing w:after="80" w:before="180"/>
      </w:pPr>
      <w:r>
        <w:rPr>
          <w:rFonts w:ascii="Calibri" w:cs="Calibri" w:eastAsia="Calibri" w:hAnsi="Calibri"/>
          <w:b/>
          <w:bCs/>
          <w:color w:val="2B2926"/>
          <w:sz w:val="24"/>
          <w:szCs w:val="24"/>
        </w:rPr>
        <w:t xml:space="preserve">3. Sekretess</w:t>
      </w:r>
    </w:p>
    <w:p>
      <w:pPr>
        <w:spacing w:after="70"/>
        <w:ind w:left="360" w:hanging="360"/>
      </w:pPr>
      <w:r>
        <w:rPr>
          <w:rFonts w:ascii="Calibri" w:cs="Calibri" w:eastAsia="Calibri" w:hAnsi="Calibri"/>
          <w:b/>
          <w:bCs/>
          <w:color w:val="2B2926"/>
          <w:sz w:val="21"/>
          <w:szCs w:val="21"/>
        </w:rPr>
        <w:t xml:space="preserve">3.1  </w:t>
      </w:r>
      <w:r>
        <w:rPr>
          <w:rFonts w:ascii="Calibri" w:cs="Calibri" w:eastAsia="Calibri" w:hAnsi="Calibri"/>
          <w:color w:val="2B2926"/>
          <w:sz w:val="21"/>
          <w:szCs w:val="21"/>
        </w:rPr>
        <w:t xml:space="preserve">Med "Konfidentiell Information" avses information om produkter, prototyper, tekniska lösningar, affärsförhållanden eller annan information som part fått tillgång till i samband med uppdraget och som inte är allmänt känd.</w:t>
      </w:r>
    </w:p>
    <w:p>
      <w:pPr>
        <w:spacing w:after="70"/>
        <w:ind w:left="360" w:hanging="360"/>
      </w:pPr>
      <w:r>
        <w:rPr>
          <w:rFonts w:ascii="Calibri" w:cs="Calibri" w:eastAsia="Calibri" w:hAnsi="Calibri"/>
          <w:b/>
          <w:bCs/>
          <w:color w:val="2B2926"/>
          <w:sz w:val="21"/>
          <w:szCs w:val="21"/>
        </w:rPr>
        <w:t xml:space="preserve">3.2  </w:t>
      </w:r>
      <w:r>
        <w:rPr>
          <w:rFonts w:ascii="Calibri" w:cs="Calibri" w:eastAsia="Calibri" w:hAnsi="Calibri"/>
          <w:color w:val="2B2926"/>
          <w:sz w:val="21"/>
          <w:szCs w:val="21"/>
        </w:rPr>
        <w:t xml:space="preserve">Parterna förbinder sig att inte röja Konfidentiell Information till tredje part och att endast använda informationen i syfte att genomföra uppdraget.</w:t>
      </w:r>
    </w:p>
    <w:p>
      <w:pPr>
        <w:spacing w:after="70"/>
        <w:ind w:left="360" w:hanging="360"/>
      </w:pPr>
      <w:r>
        <w:rPr>
          <w:rFonts w:ascii="Calibri" w:cs="Calibri" w:eastAsia="Calibri" w:hAnsi="Calibri"/>
          <w:b/>
          <w:bCs/>
          <w:color w:val="2B2926"/>
          <w:sz w:val="21"/>
          <w:szCs w:val="21"/>
        </w:rPr>
        <w:t xml:space="preserve">3.3  </w:t>
      </w:r>
      <w:r>
        <w:rPr>
          <w:rFonts w:ascii="Calibri" w:cs="Calibri" w:eastAsia="Calibri" w:hAnsi="Calibri"/>
          <w:color w:val="2B2926"/>
          <w:sz w:val="21"/>
          <w:szCs w:val="21"/>
        </w:rPr>
        <w:t xml:space="preserve">Sekretessåtagandet gäller under uppdragets genomförande samt två (2) år därefter, om inte annan tid anges i Bilaga 2.</w:t>
      </w:r>
    </w:p>
    <w:p>
      <w:pPr>
        <w:spacing w:after="70"/>
        <w:ind w:left="360" w:hanging="360"/>
      </w:pPr>
      <w:r>
        <w:rPr>
          <w:rFonts w:ascii="Calibri" w:cs="Calibri" w:eastAsia="Calibri" w:hAnsi="Calibri"/>
          <w:b/>
          <w:bCs/>
          <w:color w:val="2B2926"/>
          <w:sz w:val="21"/>
          <w:szCs w:val="21"/>
        </w:rPr>
        <w:t xml:space="preserve">3.4  </w:t>
      </w:r>
      <w:r>
        <w:rPr>
          <w:rFonts w:ascii="Calibri" w:cs="Calibri" w:eastAsia="Calibri" w:hAnsi="Calibri"/>
          <w:color w:val="2B2926"/>
          <w:sz w:val="21"/>
          <w:szCs w:val="21"/>
        </w:rPr>
        <w:t xml:space="preserve">Sekretessåtagandet gäller inte information som redan var allmänt känd, som mottagande part kan visa redan var känd före mottagandet, eller som part är skyldig att lämna ut enligt lag eller myndighetsbeslut.</w:t>
      </w:r>
    </w:p>
    <w:p>
      <w:pPr>
        <w:pStyle w:val="Heading2"/>
        <w:spacing w:after="80" w:before="180"/>
      </w:pPr>
      <w:r>
        <w:rPr>
          <w:rFonts w:ascii="Calibri" w:cs="Calibri" w:eastAsia="Calibri" w:hAnsi="Calibri"/>
          <w:b/>
          <w:bCs/>
          <w:color w:val="2B2926"/>
          <w:sz w:val="24"/>
          <w:szCs w:val="24"/>
        </w:rPr>
        <w:t xml:space="preserve">4. Immateriella rättigheter och publicering</w:t>
      </w:r>
    </w:p>
    <w:p>
      <w:pPr>
        <w:spacing w:after="70"/>
        <w:ind w:left="360" w:hanging="360"/>
      </w:pPr>
      <w:r>
        <w:rPr>
          <w:rFonts w:ascii="Calibri" w:cs="Calibri" w:eastAsia="Calibri" w:hAnsi="Calibri"/>
          <w:b/>
          <w:bCs/>
          <w:color w:val="2B2926"/>
          <w:sz w:val="21"/>
          <w:szCs w:val="21"/>
        </w:rPr>
        <w:t xml:space="preserve">4.1  </w:t>
      </w:r>
      <w:r>
        <w:rPr>
          <w:rFonts w:ascii="Calibri" w:cs="Calibri" w:eastAsia="Calibri" w:hAnsi="Calibri"/>
          <w:color w:val="2B2926"/>
          <w:sz w:val="21"/>
          <w:szCs w:val="21"/>
        </w:rPr>
        <w:t xml:space="preserve">Om inte annat anges i Bilaga 2 behåller Tillverkaren samtliga rättigheter till sina produkter och varumärken.</w:t>
      </w:r>
    </w:p>
    <w:p>
      <w:pPr>
        <w:spacing w:after="70"/>
        <w:ind w:left="360" w:hanging="360"/>
      </w:pPr>
      <w:r>
        <w:rPr>
          <w:rFonts w:ascii="Calibri" w:cs="Calibri" w:eastAsia="Calibri" w:hAnsi="Calibri"/>
          <w:b/>
          <w:bCs/>
          <w:color w:val="2B2926"/>
          <w:sz w:val="21"/>
          <w:szCs w:val="21"/>
        </w:rPr>
        <w:t xml:space="preserve">4.2  </w:t>
      </w:r>
      <w:r>
        <w:rPr>
          <w:rFonts w:ascii="Calibri" w:cs="Calibri" w:eastAsia="Calibri" w:hAnsi="Calibri"/>
          <w:color w:val="2B2926"/>
          <w:sz w:val="21"/>
          <w:szCs w:val="21"/>
        </w:rPr>
        <w:t xml:space="preserve">Rättigheter till det innehåll (film, bild, text eller annat material) som produceras inom ramen för uppdraget, samt var, hur och under hur lång tid det får publiceras och av vem, regleras i Bilaga 2.</w:t>
      </w:r>
    </w:p>
    <w:p>
      <w:pPr>
        <w:pStyle w:val="Heading2"/>
        <w:spacing w:after="80" w:before="180"/>
      </w:pPr>
      <w:r>
        <w:rPr>
          <w:rFonts w:ascii="Calibri" w:cs="Calibri" w:eastAsia="Calibri" w:hAnsi="Calibri"/>
          <w:b/>
          <w:bCs/>
          <w:color w:val="2B2926"/>
          <w:sz w:val="24"/>
          <w:szCs w:val="24"/>
        </w:rPr>
        <w:t xml:space="preserve">5. Ersättning och betalning</w:t>
      </w:r>
    </w:p>
    <w:p>
      <w:pPr>
        <w:spacing w:after="100"/>
      </w:pPr>
      <w:r>
        <w:rPr>
          <w:rFonts w:ascii="Calibri" w:cs="Calibri" w:eastAsia="Calibri" w:hAnsi="Calibri"/>
          <w:color w:val="2B2926"/>
          <w:sz w:val="21"/>
          <w:szCs w:val="21"/>
        </w:rPr>
        <w:t xml:space="preserve">Ersättning för uppdraget anges i Bilaga 2 och hanteras via Proffsnavets betalningsflöde enligt Proffsnavets vid var tid gällande villkor.</w:t>
      </w:r>
    </w:p>
    <w:p>
      <w:pPr>
        <w:pStyle w:val="Heading2"/>
        <w:spacing w:after="80" w:before="180"/>
      </w:pPr>
      <w:r>
        <w:rPr>
          <w:rFonts w:ascii="Calibri" w:cs="Calibri" w:eastAsia="Calibri" w:hAnsi="Calibri"/>
          <w:b/>
          <w:bCs/>
          <w:color w:val="2B2926"/>
          <w:sz w:val="24"/>
          <w:szCs w:val="24"/>
        </w:rPr>
        <w:t xml:space="preserve">6. Ansvar</w:t>
      </w:r>
    </w:p>
    <w:p>
      <w:pPr>
        <w:spacing w:after="100"/>
      </w:pPr>
      <w:r>
        <w:rPr>
          <w:rFonts w:ascii="Calibri" w:cs="Calibri" w:eastAsia="Calibri" w:hAnsi="Calibri"/>
          <w:color w:val="2B2926"/>
          <w:sz w:val="21"/>
          <w:szCs w:val="21"/>
        </w:rPr>
        <w:t xml:space="preserve">Part ansvarar för skador som orsakas genom eget vållande eller genom brott mot detta avtal. Ingen part ansvarar gentemot den andra parten för indirekta skador eller följdskador.</w:t>
      </w:r>
    </w:p>
    <w:p>
      <w:pPr>
        <w:pStyle w:val="Heading2"/>
        <w:spacing w:after="80" w:before="180"/>
      </w:pPr>
      <w:r>
        <w:rPr>
          <w:rFonts w:ascii="Calibri" w:cs="Calibri" w:eastAsia="Calibri" w:hAnsi="Calibri"/>
          <w:b/>
          <w:bCs/>
          <w:color w:val="2B2926"/>
          <w:sz w:val="24"/>
          <w:szCs w:val="24"/>
        </w:rPr>
        <w:t xml:space="preserve">7. Avtalstid</w:t>
      </w:r>
    </w:p>
    <w:p>
      <w:pPr>
        <w:spacing w:after="100"/>
      </w:pPr>
      <w:r>
        <w:rPr>
          <w:rFonts w:ascii="Calibri" w:cs="Calibri" w:eastAsia="Calibri" w:hAnsi="Calibri"/>
          <w:color w:val="2B2926"/>
          <w:sz w:val="21"/>
          <w:szCs w:val="21"/>
        </w:rPr>
        <w:t xml:space="preserve">Avtalet gäller från undertecknande till dess uppdraget är slutfört och slutlig betalning erlagts, om inte annat anges i Bilaga 2.</w:t>
      </w:r>
    </w:p>
    <w:p>
      <w:pPr>
        <w:pStyle w:val="Heading2"/>
        <w:spacing w:after="80" w:before="180"/>
      </w:pPr>
      <w:r>
        <w:rPr>
          <w:rFonts w:ascii="Calibri" w:cs="Calibri" w:eastAsia="Calibri" w:hAnsi="Calibri"/>
          <w:b/>
          <w:bCs/>
          <w:color w:val="2B2926"/>
          <w:sz w:val="24"/>
          <w:szCs w:val="24"/>
        </w:rPr>
        <w:t xml:space="preserve">8. Tillämplig lag och tvist</w:t>
      </w:r>
    </w:p>
    <w:p>
      <w:pPr>
        <w:spacing w:after="100"/>
      </w:pPr>
      <w:r>
        <w:rPr>
          <w:rFonts w:ascii="Calibri" w:cs="Calibri" w:eastAsia="Calibri" w:hAnsi="Calibri"/>
          <w:color w:val="2B2926"/>
          <w:sz w:val="21"/>
          <w:szCs w:val="21"/>
        </w:rPr>
        <w:t xml:space="preserve">Svensk lag ska tillämpas på detta avtal. Tvist med anledning av avtalet ska i första hand lösas genom förhandling mellan Parterna. Om Parterna inte kan enas ska tvisten avgöras av allmän domstol med Stockholms tingsrätt som första instans.</w:t>
      </w:r>
    </w:p>
    <w:p>
      <w:pPr>
        <w:pStyle w:val="Heading2"/>
        <w:spacing w:after="80" w:before="180"/>
      </w:pPr>
      <w:r>
        <w:rPr>
          <w:rFonts w:ascii="Calibri" w:cs="Calibri" w:eastAsia="Calibri" w:hAnsi="Calibri"/>
          <w:b/>
          <w:bCs/>
          <w:color w:val="2B2926"/>
          <w:sz w:val="24"/>
          <w:szCs w:val="24"/>
        </w:rPr>
        <w:t xml:space="preserve">9. Bilaga</w:t>
      </w:r>
    </w:p>
    <w:p>
      <w:pPr>
        <w:spacing w:after="100"/>
      </w:pPr>
      <w:r>
        <w:rPr>
          <w:rFonts w:ascii="Calibri" w:cs="Calibri" w:eastAsia="Calibri" w:hAnsi="Calibri"/>
          <w:color w:val="2B2926"/>
          <w:sz w:val="21"/>
          <w:szCs w:val="21"/>
        </w:rPr>
        <w:t xml:space="preserve">Bilaga 2 utgör en integrerad del av detta avtal. Vid eventuell motstridighet mellan detta huvudavtal och Bilaga 2 äger Bilaga 2 företräde i fråga om uppdragsspecifika villkor.</w:t>
      </w:r>
    </w:p>
    <w:p>
      <w:r>
        <w:br w:type="page"/>
      </w:r>
    </w:p>
    <w:p>
      <w:pPr>
        <w:spacing w:after="40"/>
      </w:pPr>
      <w:r>
        <w:rPr>
          <w:rFonts w:ascii="Calibri" w:cs="Calibri" w:eastAsia="Calibri" w:hAnsi="Calibri"/>
          <w:b/>
          <w:bCs/>
          <w:color w:val="2B2926"/>
          <w:sz w:val="30"/>
          <w:szCs w:val="30"/>
        </w:rPr>
        <w:t xml:space="preserve">BILAGA 2</w:t>
      </w:r>
    </w:p>
    <w:p>
      <w:pPr>
        <w:spacing w:after="300"/>
      </w:pPr>
      <w:r>
        <w:rPr>
          <w:rFonts w:ascii="Calibri" w:cs="Calibri" w:eastAsia="Calibri" w:hAnsi="Calibri"/>
          <w:i/>
          <w:iCs/>
          <w:color w:val="5A564E"/>
          <w:sz w:val="20"/>
          <w:szCs w:val="20"/>
        </w:rPr>
        <w:t xml:space="preserve">Särskilda villkor för uppdraget — fylls i av Parterna</w:t>
      </w:r>
    </w:p>
    <w:p>
      <w:pPr>
        <w:pStyle w:val="Heading2"/>
        <w:spacing w:after="80" w:before="180"/>
      </w:pPr>
      <w:r>
        <w:rPr>
          <w:rFonts w:ascii="Calibri" w:cs="Calibri" w:eastAsia="Calibri" w:hAnsi="Calibri"/>
          <w:b/>
          <w:bCs/>
          <w:color w:val="2B2926"/>
          <w:sz w:val="24"/>
          <w:szCs w:val="24"/>
        </w:rPr>
        <w:t xml:space="preserve">Parter</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200"/>
        <w:gridCol w:w="6200"/>
      </w:tblGrid>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Tillverkare (företag)</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Företagsnamn, org.nr, kontaktperson, e-post</w:t>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Yrkesperson</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Namn, ev. företag/org.nr, e-post</w:t>
            </w:r>
          </w:p>
        </w:tc>
      </w:tr>
    </w:tbl>
    <w:p>
      <w:pPr>
        <w:pStyle w:val="Heading2"/>
        <w:spacing w:after="80" w:before="180"/>
      </w:pPr>
      <w:r>
        <w:rPr>
          <w:rFonts w:ascii="Calibri" w:cs="Calibri" w:eastAsia="Calibri" w:hAnsi="Calibri"/>
          <w:b/>
          <w:bCs/>
          <w:color w:val="2B2926"/>
          <w:sz w:val="24"/>
          <w:szCs w:val="24"/>
        </w:rPr>
        <w:t xml:space="preserve">Uppdraget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200"/>
        <w:gridCol w:w="6200"/>
      </w:tblGrid>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Produkt</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Vad ska visas/testas</w:t>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Typ av innehåll</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Produktfilm / recension / prototyptest</w:t>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Plattform(ar)</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Instagram / TikTok / YouTube / annat</w:t>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Antal filmer/inlägg</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Leveransdatum</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
            </w:r>
          </w:p>
        </w:tc>
      </w:tr>
    </w:tbl>
    <w:p>
      <w:pPr>
        <w:pStyle w:val="Heading2"/>
        <w:spacing w:after="80" w:before="180"/>
      </w:pPr>
      <w:r>
        <w:rPr>
          <w:rFonts w:ascii="Calibri" w:cs="Calibri" w:eastAsia="Calibri" w:hAnsi="Calibri"/>
          <w:b/>
          <w:bCs/>
          <w:color w:val="2B2926"/>
          <w:sz w:val="24"/>
          <w:szCs w:val="24"/>
        </w:rPr>
        <w:t xml:space="preserve">Ekonomiska villkor</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200"/>
        <w:gridCol w:w="6200"/>
      </w:tblGrid>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Ersättning</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Belopp, exkl./inkl. moms</w:t>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Typ av ersättning</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Kontant / produkter / kombination — ange marknadsvärde om produkter</w:t>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Betalningsvillkor</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Enligt Proffsnavets betalningsflöde, se huvudavtalets punkt 5</w:t>
            </w:r>
          </w:p>
        </w:tc>
      </w:tr>
    </w:tbl>
    <w:p>
      <w:pPr>
        <w:pStyle w:val="Heading2"/>
        <w:spacing w:after="80" w:before="180"/>
      </w:pPr>
      <w:r>
        <w:rPr>
          <w:rFonts w:ascii="Calibri" w:cs="Calibri" w:eastAsia="Calibri" w:hAnsi="Calibri"/>
          <w:b/>
          <w:bCs/>
          <w:color w:val="2B2926"/>
          <w:sz w:val="24"/>
          <w:szCs w:val="24"/>
        </w:rPr>
        <w:t xml:space="preserve">Rättigheter och sekretess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200"/>
        <w:gridCol w:w="6200"/>
      </w:tblGrid>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Publicerings- och användningsrätt</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Var, hur länge och av vem får innehållet användas</w:t>
            </w:r>
          </w:p>
        </w:tc>
      </w:tr>
      <w:tr>
        <w:tc>
          <w:tcPr>
            <w:tcW w:type="dxa" w:w="3200"/>
            <w:shd w:fill="F5F3EE" w:val="clear"/>
            <w:tcMar>
              <w:top w:type="dxa" w:w="120"/>
              <w:left w:type="dxa" w:w="140"/>
              <w:bottom w:type="dxa" w:w="120"/>
              <w:right w:type="dxa" w:w="140"/>
            </w:tcMar>
          </w:tcPr>
          <w:p>
            <w:r>
              <w:rPr>
                <w:rFonts w:ascii="Calibri" w:cs="Calibri" w:eastAsia="Calibri" w:hAnsi="Calibri"/>
                <w:b/>
                <w:bCs/>
                <w:color w:val="2B2926"/>
                <w:sz w:val="20"/>
                <w:szCs w:val="20"/>
              </w:rPr>
              <w:t xml:space="preserve">Avvikande sekretesstid</w:t>
            </w:r>
          </w:p>
        </w:tc>
        <w:tc>
          <w:tcPr>
            <w:tcW w:type="dxa" w:w="6200"/>
            <w:tcMar>
              <w:top w:type="dxa" w:w="120"/>
              <w:left w:type="dxa" w:w="140"/>
              <w:bottom w:type="dxa" w:w="120"/>
              <w:right w:type="dxa" w:w="140"/>
            </w:tcMar>
          </w:tcPr>
          <w:p>
            <w:r>
              <w:rPr>
                <w:rFonts w:ascii="Calibri" w:cs="Calibri" w:eastAsia="Calibri" w:hAnsi="Calibri"/>
                <w:i/>
                <w:iCs/>
                <w:color w:val="8A867D"/>
                <w:sz w:val="20"/>
                <w:szCs w:val="20"/>
              </w:rPr>
              <w:t xml:space="preserve">Om annat än 2 år enligt huvudavtalets punkt 3.3</w:t>
            </w:r>
          </w:p>
        </w:tc>
      </w:tr>
    </w:tbl>
    <w:p>
      <w:pPr>
        <w:pStyle w:val="Heading2"/>
        <w:spacing w:after="80" w:before="180"/>
      </w:pPr>
      <w:r>
        <w:rPr>
          <w:rFonts w:ascii="Calibri" w:cs="Calibri" w:eastAsia="Calibri" w:hAnsi="Calibri"/>
          <w:b/>
          <w:bCs/>
          <w:color w:val="2B2926"/>
          <w:sz w:val="24"/>
          <w:szCs w:val="24"/>
        </w:rPr>
        <w:t xml:space="preserve">Övriga särskilda villkor</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tcMar>
              <w:top w:type="dxa" w:w="120"/>
              <w:left w:type="dxa" w:w="140"/>
              <w:bottom w:type="dxa" w:w="200"/>
              <w:right w:type="dxa" w:w="140"/>
            </w:tcMar>
          </w:tcPr>
          <w:p>
            <w:r>
              <w:rPr>
                <w:sz w:val="20"/>
                <w:szCs w:val="20"/>
              </w:rPr>
              <w:t xml:space="preserve"/>
            </w:r>
          </w:p>
          <w:p>
            <w:r>
              <w:rPr>
                <w:sz w:val="20"/>
                <w:szCs w:val="20"/>
              </w:rPr>
              <w:t xml:space="preserve"/>
            </w:r>
          </w:p>
          <w:p>
            <w:r>
              <w:rPr>
                <w:sz w:val="20"/>
                <w:szCs w:val="20"/>
              </w:rPr>
              <w:t xml:space="preserve"/>
            </w:r>
          </w:p>
        </w:tc>
      </w:tr>
    </w:tbl>
    <w:p>
      <w:pPr>
        <w:spacing w:after="200" w:before="400"/>
      </w:pPr>
      <w:r>
        <w:rPr>
          <w:rFonts w:ascii="Calibri" w:cs="Calibri" w:eastAsia="Calibri" w:hAnsi="Calibri"/>
          <w:b/>
          <w:bCs/>
          <w:color w:val="2B2926"/>
          <w:sz w:val="24"/>
          <w:szCs w:val="24"/>
        </w:rPr>
        <w:t xml:space="preserve">Underskrifter</w:t>
      </w:r>
    </w:p>
    <w:tbl>
      <w:tblPr>
        <w:tblW w:type="dxa" w:w="9400"/>
        <w:tblBorders>
          <w:top w:val="none"/>
          <w:left w:val="none"/>
          <w:bottom w:val="none"/>
          <w:right w:val="none"/>
          <w:insideH w:val="none"/>
          <w:insideV w:val="none"/>
        </w:tblBorders>
      </w:tblPr>
      <w:tblGrid>
        <w:gridCol w:w="4700"/>
        <w:gridCol w:w="4700"/>
      </w:tblGrid>
      <w:tr>
        <w:tc>
          <w:tcPr>
            <w:tcW w:type="dxa" w:w="4700"/>
            <w:tcMar>
              <w:top w:type="dxa" w:w="400"/>
              <w:left w:type="dxa" w:w="140"/>
              <w:right w:type="dxa" w:w="140"/>
            </w:tcMar>
          </w:tcPr>
          <w:p>
            <w:pPr>
              <w:pBdr>
                <w:top w:val="single" w:color="D9D5CC" w:sz="4" w:space="4"/>
              </w:pBdr>
            </w:pPr>
            <w:r>
              <w:rPr>
                <w:rFonts w:ascii="Calibri" w:cs="Calibri" w:eastAsia="Calibri" w:hAnsi="Calibri"/>
                <w:color w:val="5A564E"/>
                <w:sz w:val="18"/>
                <w:szCs w:val="18"/>
              </w:rPr>
              <w:t xml:space="preserve">Ort och datum</w:t>
            </w:r>
          </w:p>
        </w:tc>
        <w:tc>
          <w:tcPr>
            <w:tcW w:type="dxa" w:w="4700"/>
            <w:tcMar>
              <w:top w:type="dxa" w:w="400"/>
              <w:left w:type="dxa" w:w="140"/>
              <w:right w:type="dxa" w:w="140"/>
            </w:tcMar>
          </w:tcPr>
          <w:p>
            <w:pPr>
              <w:pBdr>
                <w:top w:val="single" w:color="D9D5CC" w:sz="4" w:space="4"/>
              </w:pBdr>
            </w:pPr>
            <w:r>
              <w:rPr>
                <w:rFonts w:ascii="Calibri" w:cs="Calibri" w:eastAsia="Calibri" w:hAnsi="Calibri"/>
                <w:color w:val="5A564E"/>
                <w:sz w:val="18"/>
                <w:szCs w:val="18"/>
              </w:rPr>
              <w:t xml:space="preserve">Ort och datum</w:t>
            </w:r>
          </w:p>
        </w:tc>
      </w:tr>
      <w:tr>
        <w:tc>
          <w:tcPr>
            <w:tcW w:type="dxa" w:w="4700"/>
            <w:tcMar>
              <w:top w:type="dxa" w:w="500"/>
              <w:left w:type="dxa" w:w="140"/>
              <w:right w:type="dxa" w:w="140"/>
            </w:tcMar>
          </w:tcPr>
          <w:p>
            <w:pPr>
              <w:pBdr>
                <w:top w:val="single" w:color="D9D5CC" w:sz="4" w:space="4"/>
              </w:pBdr>
            </w:pPr>
            <w:r>
              <w:rPr>
                <w:rFonts w:ascii="Calibri" w:cs="Calibri" w:eastAsia="Calibri" w:hAnsi="Calibri"/>
                <w:color w:val="5A564E"/>
                <w:sz w:val="18"/>
                <w:szCs w:val="18"/>
              </w:rPr>
              <w:t xml:space="preserve">Namnteckning, Tillverkaren</w:t>
            </w:r>
          </w:p>
        </w:tc>
        <w:tc>
          <w:tcPr>
            <w:tcW w:type="dxa" w:w="4700"/>
            <w:tcMar>
              <w:top w:type="dxa" w:w="500"/>
              <w:left w:type="dxa" w:w="140"/>
              <w:right w:type="dxa" w:w="140"/>
            </w:tcMar>
          </w:tcPr>
          <w:p>
            <w:pPr>
              <w:pBdr>
                <w:top w:val="single" w:color="D9D5CC" w:sz="4" w:space="4"/>
              </w:pBdr>
            </w:pPr>
            <w:r>
              <w:rPr>
                <w:rFonts w:ascii="Calibri" w:cs="Calibri" w:eastAsia="Calibri" w:hAnsi="Calibri"/>
                <w:color w:val="5A564E"/>
                <w:sz w:val="18"/>
                <w:szCs w:val="18"/>
              </w:rPr>
              <w:t xml:space="preserve">Namnteckning, Yrkespersonen</w:t>
            </w:r>
          </w:p>
        </w:tc>
      </w:tr>
      <w:tr>
        <w:tc>
          <w:tcPr>
            <w:tcW w:type="dxa" w:w="4700"/>
            <w:tcMar>
              <w:top w:type="dxa" w:w="500"/>
              <w:left w:type="dxa" w:w="140"/>
              <w:right w:type="dxa" w:w="140"/>
            </w:tcMar>
          </w:tcPr>
          <w:p>
            <w:pPr>
              <w:pBdr>
                <w:top w:val="single" w:color="D9D5CC" w:sz="4" w:space="4"/>
              </w:pBdr>
            </w:pPr>
            <w:r>
              <w:rPr>
                <w:rFonts w:ascii="Calibri" w:cs="Calibri" w:eastAsia="Calibri" w:hAnsi="Calibri"/>
                <w:color w:val="5A564E"/>
                <w:sz w:val="18"/>
                <w:szCs w:val="18"/>
              </w:rPr>
              <w:t xml:space="preserve">Namnförtydligande</w:t>
            </w:r>
          </w:p>
        </w:tc>
        <w:tc>
          <w:tcPr>
            <w:tcW w:type="dxa" w:w="4700"/>
            <w:tcMar>
              <w:top w:type="dxa" w:w="500"/>
              <w:left w:type="dxa" w:w="140"/>
              <w:right w:type="dxa" w:w="140"/>
            </w:tcMar>
          </w:tcPr>
          <w:p>
            <w:pPr>
              <w:pBdr>
                <w:top w:val="single" w:color="D9D5CC" w:sz="4" w:space="4"/>
              </w:pBdr>
            </w:pPr>
            <w:r>
              <w:rPr>
                <w:rFonts w:ascii="Calibri" w:cs="Calibri" w:eastAsia="Calibri" w:hAnsi="Calibri"/>
                <w:color w:val="5A564E"/>
                <w:sz w:val="18"/>
                <w:szCs w:val="18"/>
              </w:rPr>
              <w:t xml:space="preserve">Namnförtydligande</w:t>
            </w:r>
          </w:p>
        </w:tc>
      </w:tr>
    </w:tbl>
    <w:sectPr>
      <w:headerReference w:type="default" r:id="rId7"/>
      <w:footerReference w:type="default" r:id="rId8"/>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A867D"/>
        <w:sz w:val="15"/>
        <w:szCs w:val="15"/>
      </w:rPr>
      <w:t xml:space="preserve">Sekretess- och samarbetsavtal — mall v1.0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5CC" w:sz="4" w:space="4"/>
      </w:pBdr>
      <w:jc w:val="right"/>
    </w:pPr>
    <w:r>
      <w:rPr>
        <w:rFonts w:ascii="Calibri" w:cs="Calibri" w:eastAsia="Calibri" w:hAnsi="Calibri"/>
        <w:color w:val="8A867D"/>
        <w:sz w:val="16"/>
        <w:szCs w:val="16"/>
      </w:rPr>
      <w:t xml:space="preserve">Mall tillhandahållen av Proffsnavet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2026-09-01T20:27:09.297Z</dcterms:created>
  <dcterms:modified xsi:type="dcterms:W3CDTF">2026-09-01T20:27:09.308Z</dcterms:modified>
</cp:coreProperties>
</file>

<file path=docProps/custom.xml><?xml version="1.0" encoding="utf-8"?>
<Properties xmlns="http://schemas.openxmlformats.org/officeDocument/2006/custom-properties" xmlns:vt="http://schemas.openxmlformats.org/officeDocument/2006/docPropsVTypes"/>
</file>